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第三轮省级生态环境保护督察第二项整改任务完成情况表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6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整改任务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统筹推进碳达峰碳中和生态环境高水平保护工作，开展碳达峰碳中和试点工作。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整改责任单位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四川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路桥建设集团股份有限公司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整改目标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加强生态环境保护工作的分类研究和分析，统筹推进碳达峰碳中和生态环境高水平保护，提高企业绿色低碳发展引领作用。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  <w:t>开展成乐高速改扩建项目低碳智能装配化组合桥梁建造试点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  <w:t>施工设备“油转电”工作。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整改主要工作及成效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1.已完成成乐扩容项目青龙大桥630米试验桥低碳智能装配化组合桥梁施工。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2.2022年下半年以来新开工项目累计进场电动设备占全部设备数量的30%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，陆续推进</w:t>
            </w:r>
            <w:r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  <w:t>“油转电”工作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ODc3ZjAyNDU1ODM5OWQ4ZTM2NTJhMTFkYjIyZWMifQ=="/>
  </w:docVars>
  <w:rsids>
    <w:rsidRoot w:val="66D40DA9"/>
    <w:rsid w:val="0C7513D0"/>
    <w:rsid w:val="0E8C0659"/>
    <w:rsid w:val="18DB73AD"/>
    <w:rsid w:val="19341F4D"/>
    <w:rsid w:val="26C2328E"/>
    <w:rsid w:val="2F92721B"/>
    <w:rsid w:val="33F50ECC"/>
    <w:rsid w:val="3441187A"/>
    <w:rsid w:val="3E1F6866"/>
    <w:rsid w:val="43C0001A"/>
    <w:rsid w:val="5A89319F"/>
    <w:rsid w:val="665E6F19"/>
    <w:rsid w:val="66D40DA9"/>
    <w:rsid w:val="67A33D00"/>
    <w:rsid w:val="6CDC1854"/>
    <w:rsid w:val="6F641D53"/>
    <w:rsid w:val="73E056D6"/>
    <w:rsid w:val="765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446</Characters>
  <Lines>0</Lines>
  <Paragraphs>0</Paragraphs>
  <TotalTime>0</TotalTime>
  <ScaleCrop>false</ScaleCrop>
  <LinksUpToDate>false</LinksUpToDate>
  <CharactersWithSpaces>446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2023-07-06T07:10:00Z</dcterms:created>
  <dc:creator>呆。</dc:creator>
  <cp:lastModifiedBy>呆。</cp:lastModifiedBy>
  <cp:lastPrinted>2023-08-11T02:43:00Z</cp:lastPrinted>
  <dcterms:modified xsi:type="dcterms:W3CDTF">2023-12-21T02:25:25Z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CA2FA58A44B647DDB3F24F0FB68349E5_11</vt:lpwstr>
  </property>
</Properties>
</file>