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附件2-1</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44"/>
          <w:szCs w:val="44"/>
          <w:lang w:val="en-US" w:eastAsia="zh-CN"/>
        </w:rPr>
        <w:t>第三轮省级生态环境保护督察第二十六项整改任务完成情况表</w:t>
      </w:r>
    </w:p>
    <w:p>
      <w:pPr>
        <w:jc w:val="center"/>
        <w:rPr>
          <w:rFonts w:hint="eastAsia" w:ascii="方正小标宋简体" w:hAnsi="方正小标宋简体" w:eastAsia="方正小标宋简体" w:cs="方正小标宋简体"/>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6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2356" w:type="dxa"/>
            <w:noWrap w:val="0"/>
            <w:vAlign w:val="center"/>
          </w:tcPr>
          <w:p>
            <w:pPr>
              <w:jc w:val="center"/>
              <w:rPr>
                <w:rFonts w:hint="default" w:eastAsia="宋体"/>
                <w:sz w:val="28"/>
                <w:szCs w:val="28"/>
                <w:vertAlign w:val="baseline"/>
                <w:lang w:val="en-US" w:eastAsia="zh-CN"/>
              </w:rPr>
            </w:pPr>
            <w:r>
              <w:rPr>
                <w:rFonts w:hint="eastAsia"/>
                <w:sz w:val="28"/>
                <w:szCs w:val="28"/>
                <w:vertAlign w:val="baseline"/>
                <w:lang w:val="en-US" w:eastAsia="zh-CN"/>
              </w:rPr>
              <w:t>整改任务</w:t>
            </w:r>
          </w:p>
        </w:tc>
        <w:tc>
          <w:tcPr>
            <w:tcW w:w="6166" w:type="dxa"/>
            <w:noWrap w:val="0"/>
            <w:vAlign w:val="center"/>
          </w:tcPr>
          <w:p>
            <w:pPr>
              <w:jc w:val="both"/>
              <w:rPr>
                <w:rFonts w:hint="eastAsia" w:ascii="仿宋_GB2312" w:hAnsi="仿宋_GB2312" w:eastAsia="仿宋_GB2312" w:cs="仿宋_GB2312"/>
                <w:sz w:val="28"/>
                <w:szCs w:val="28"/>
                <w:vertAlign w:val="baseline"/>
                <w:lang w:val="en-US" w:eastAsia="zh-CN"/>
              </w:rPr>
            </w:pPr>
            <w:r>
              <w:rPr>
                <w:rFonts w:hint="eastAsia" w:eastAsia="仿宋_GB2312"/>
                <w:color w:val="auto"/>
                <w:sz w:val="28"/>
                <w:szCs w:val="28"/>
                <w:lang w:val="en-US" w:eastAsia="zh-CN"/>
              </w:rPr>
              <w:t>部分下属企业不顾生态管控要求，突破生态红线，落实生态保护措施变形走样。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356" w:type="dxa"/>
            <w:noWrap w:val="0"/>
            <w:vAlign w:val="center"/>
          </w:tcPr>
          <w:p>
            <w:pPr>
              <w:jc w:val="center"/>
              <w:rPr>
                <w:rFonts w:hint="default" w:eastAsia="宋体"/>
                <w:sz w:val="28"/>
                <w:szCs w:val="28"/>
                <w:vertAlign w:val="baseline"/>
                <w:lang w:val="en-US" w:eastAsia="zh-CN"/>
              </w:rPr>
            </w:pPr>
            <w:r>
              <w:rPr>
                <w:rFonts w:hint="eastAsia" w:eastAsia="宋体"/>
                <w:sz w:val="28"/>
                <w:szCs w:val="28"/>
                <w:vertAlign w:val="baseline"/>
                <w:lang w:val="en-US" w:eastAsia="zh-CN"/>
              </w:rPr>
              <w:t>整改责任单位</w:t>
            </w:r>
          </w:p>
        </w:tc>
        <w:tc>
          <w:tcPr>
            <w:tcW w:w="6166" w:type="dxa"/>
            <w:noWrap w:val="0"/>
            <w:vAlign w:val="center"/>
          </w:tcPr>
          <w:p>
            <w:pPr>
              <w:jc w:val="center"/>
              <w:rPr>
                <w:rFonts w:hint="default" w:ascii="仿宋_GB2312" w:hAnsi="仿宋_GB2312" w:eastAsia="仿宋_GB2312" w:cs="仿宋_GB2312"/>
                <w:sz w:val="28"/>
                <w:szCs w:val="28"/>
                <w:vertAlign w:val="baseline"/>
                <w:lang w:val="en-US" w:eastAsia="zh-CN"/>
              </w:rPr>
            </w:pPr>
            <w:r>
              <w:rPr>
                <w:rFonts w:eastAsia="仿宋_GB2312"/>
                <w:color w:val="auto"/>
                <w:sz w:val="28"/>
                <w:szCs w:val="28"/>
                <w:lang w:eastAsia="zh-CN"/>
              </w:rPr>
              <w:t>四川</w:t>
            </w:r>
            <w:r>
              <w:rPr>
                <w:rFonts w:hint="eastAsia" w:eastAsia="仿宋_GB2312"/>
                <w:color w:val="auto"/>
                <w:sz w:val="28"/>
                <w:szCs w:val="28"/>
                <w:lang w:val="en-US" w:eastAsia="zh-CN"/>
              </w:rPr>
              <w:t>路桥建设集团股份有限公司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2356" w:type="dxa"/>
            <w:noWrap w:val="0"/>
            <w:vAlign w:val="center"/>
          </w:tcPr>
          <w:p>
            <w:pPr>
              <w:jc w:val="center"/>
              <w:rPr>
                <w:rFonts w:hint="default" w:eastAsia="宋体"/>
                <w:sz w:val="28"/>
                <w:szCs w:val="28"/>
                <w:vertAlign w:val="baseline"/>
                <w:lang w:val="en-US" w:eastAsia="zh-CN"/>
              </w:rPr>
            </w:pPr>
            <w:r>
              <w:rPr>
                <w:rFonts w:hint="eastAsia"/>
                <w:sz w:val="28"/>
                <w:szCs w:val="28"/>
                <w:vertAlign w:val="baseline"/>
                <w:lang w:val="en-US" w:eastAsia="zh-CN"/>
              </w:rPr>
              <w:t>整改目标</w:t>
            </w:r>
          </w:p>
        </w:tc>
        <w:tc>
          <w:tcPr>
            <w:tcW w:w="6166" w:type="dxa"/>
            <w:noWrap w:val="0"/>
            <w:vAlign w:val="center"/>
          </w:tcPr>
          <w:p>
            <w:pPr>
              <w:jc w:val="both"/>
              <w:rPr>
                <w:rFonts w:hint="eastAsia" w:ascii="仿宋_GB2312" w:hAnsi="仿宋_GB2312" w:eastAsia="仿宋_GB2312" w:cs="仿宋_GB2312"/>
                <w:sz w:val="28"/>
                <w:szCs w:val="28"/>
                <w:vertAlign w:val="baseline"/>
                <w:lang w:val="en-US" w:eastAsia="zh-CN"/>
              </w:rPr>
            </w:pPr>
            <w:r>
              <w:rPr>
                <w:rFonts w:hint="eastAsia" w:eastAsia="仿宋_GB2312"/>
                <w:color w:val="auto"/>
                <w:sz w:val="28"/>
                <w:szCs w:val="28"/>
                <w:lang w:val="en-US" w:eastAsia="zh-CN"/>
              </w:rPr>
              <w:t>强化重大生态环境风险管控，严格落实生态环境保护措施，有效防范侵占生态红线。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356" w:type="dxa"/>
            <w:noWrap w:val="0"/>
            <w:vAlign w:val="center"/>
          </w:tcPr>
          <w:p>
            <w:pPr>
              <w:jc w:val="center"/>
              <w:rPr>
                <w:rFonts w:hint="default"/>
                <w:sz w:val="28"/>
                <w:szCs w:val="28"/>
                <w:vertAlign w:val="baseline"/>
                <w:lang w:val="en-US" w:eastAsia="zh-CN"/>
              </w:rPr>
            </w:pPr>
            <w:r>
              <w:rPr>
                <w:rFonts w:hint="eastAsia"/>
                <w:sz w:val="28"/>
                <w:szCs w:val="28"/>
                <w:vertAlign w:val="baseline"/>
                <w:lang w:val="en-US" w:eastAsia="zh-CN"/>
              </w:rPr>
              <w:t>整改措施</w:t>
            </w:r>
          </w:p>
        </w:tc>
        <w:tc>
          <w:tcPr>
            <w:tcW w:w="6166" w:type="dxa"/>
            <w:noWrap w:val="0"/>
            <w:vAlign w:val="center"/>
          </w:tcPr>
          <w:p>
            <w:pPr>
              <w:numPr>
                <w:ilvl w:val="0"/>
                <w:numId w:val="1"/>
              </w:numPr>
              <w:jc w:val="both"/>
              <w:rPr>
                <w:rFonts w:hint="eastAsia" w:eastAsia="仿宋_GB2312"/>
                <w:color w:val="auto"/>
                <w:sz w:val="28"/>
                <w:szCs w:val="28"/>
                <w:lang w:val="en-US" w:eastAsia="zh-CN"/>
              </w:rPr>
            </w:pPr>
            <w:r>
              <w:rPr>
                <w:rFonts w:hint="eastAsia" w:eastAsia="仿宋_GB2312"/>
                <w:color w:val="auto"/>
                <w:sz w:val="28"/>
                <w:szCs w:val="28"/>
                <w:lang w:val="en-US" w:eastAsia="zh-CN"/>
              </w:rPr>
              <w:t>2023年6月底前，针对建设项目生态环境敏感区，建立重大生态环境风险清单，制定防范管控举措，强化措施落实。</w:t>
            </w:r>
          </w:p>
          <w:p>
            <w:pPr>
              <w:numPr>
                <w:ilvl w:val="0"/>
                <w:numId w:val="1"/>
              </w:numPr>
              <w:jc w:val="both"/>
              <w:rPr>
                <w:rFonts w:hint="eastAsia" w:eastAsia="仿宋_GB2312"/>
                <w:color w:val="auto"/>
                <w:sz w:val="28"/>
                <w:szCs w:val="28"/>
                <w:lang w:val="en-US" w:eastAsia="zh-CN"/>
              </w:rPr>
            </w:pPr>
            <w:r>
              <w:rPr>
                <w:rFonts w:hint="eastAsia" w:eastAsia="仿宋_GB2312"/>
                <w:color w:val="auto"/>
                <w:sz w:val="28"/>
                <w:szCs w:val="28"/>
                <w:lang w:val="en-US" w:eastAsia="zh-CN"/>
              </w:rPr>
              <w:t>加强对重大环境风险及防范举措的督导检查，对发现的问题及时通报，跟踪督办整改。</w:t>
            </w:r>
          </w:p>
          <w:p>
            <w:pPr>
              <w:numPr>
                <w:ilvl w:val="0"/>
                <w:numId w:val="1"/>
              </w:numPr>
              <w:jc w:val="both"/>
              <w:rPr>
                <w:rFonts w:hint="eastAsia" w:eastAsia="仿宋_GB2312"/>
                <w:color w:val="auto"/>
                <w:sz w:val="28"/>
                <w:szCs w:val="28"/>
                <w:lang w:val="en-US" w:eastAsia="zh-CN"/>
              </w:rPr>
            </w:pPr>
            <w:r>
              <w:rPr>
                <w:rFonts w:hint="eastAsia" w:eastAsia="仿宋_GB2312"/>
                <w:color w:val="auto"/>
                <w:sz w:val="28"/>
                <w:szCs w:val="28"/>
                <w:lang w:val="en-US" w:eastAsia="zh-CN"/>
              </w:rPr>
              <w:t>对因突破生态红线、落实生态保护措施变形走样而导致发生生态环境突出问题的建设项目，及时启动约谈、调查问责等惩处措施。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trPr>
        <w:tc>
          <w:tcPr>
            <w:tcW w:w="2356" w:type="dxa"/>
            <w:noWrap w:val="0"/>
            <w:vAlign w:val="center"/>
          </w:tcPr>
          <w:p>
            <w:pPr>
              <w:jc w:val="center"/>
              <w:rPr>
                <w:rFonts w:hint="default"/>
                <w:sz w:val="28"/>
                <w:szCs w:val="28"/>
                <w:vertAlign w:val="baseline"/>
                <w:lang w:val="en-US" w:eastAsia="zh-CN"/>
              </w:rPr>
            </w:pPr>
            <w:r>
              <w:rPr>
                <w:rFonts w:hint="eastAsia"/>
                <w:sz w:val="28"/>
                <w:szCs w:val="28"/>
                <w:vertAlign w:val="baseline"/>
                <w:lang w:val="en-US" w:eastAsia="zh-CN"/>
              </w:rPr>
              <w:t>整改主要工作及成效</w:t>
            </w:r>
          </w:p>
        </w:tc>
        <w:tc>
          <w:tcPr>
            <w:tcW w:w="6166" w:type="dxa"/>
            <w:noWrap w:val="0"/>
            <w:vAlign w:val="center"/>
          </w:tcPr>
          <w:p>
            <w:pPr>
              <w:numPr>
                <w:ilvl w:val="0"/>
                <w:numId w:val="2"/>
              </w:numPr>
              <w:jc w:val="both"/>
              <w:rPr>
                <w:rFonts w:hint="default" w:eastAsia="仿宋_GB2312"/>
                <w:color w:val="auto"/>
                <w:sz w:val="28"/>
                <w:szCs w:val="28"/>
                <w:lang w:val="en-US" w:eastAsia="zh-CN"/>
              </w:rPr>
            </w:pPr>
            <w:r>
              <w:rPr>
                <w:rFonts w:hint="eastAsia" w:eastAsia="仿宋_GB2312"/>
                <w:color w:val="auto"/>
                <w:sz w:val="28"/>
                <w:szCs w:val="28"/>
                <w:lang w:val="en-US" w:eastAsia="zh-CN"/>
              </w:rPr>
              <w:t>目前已针对工程建设项目生态环境敏感区，识别并建立重大生态环境风险清单，制定防范管控举措。</w:t>
            </w:r>
          </w:p>
          <w:p>
            <w:pPr>
              <w:numPr>
                <w:ilvl w:val="0"/>
                <w:numId w:val="2"/>
              </w:numPr>
              <w:jc w:val="both"/>
              <w:rPr>
                <w:rFonts w:hint="default" w:eastAsia="仿宋_GB2312"/>
                <w:color w:val="auto"/>
                <w:sz w:val="28"/>
                <w:szCs w:val="28"/>
                <w:lang w:val="en-US" w:eastAsia="zh-CN"/>
              </w:rPr>
            </w:pPr>
            <w:r>
              <w:rPr>
                <w:rFonts w:hint="eastAsia" w:eastAsia="仿宋_GB2312"/>
                <w:color w:val="auto"/>
                <w:sz w:val="28"/>
                <w:szCs w:val="28"/>
                <w:lang w:val="en-US" w:eastAsia="zh-CN"/>
              </w:rPr>
              <w:t>公司将所属企业一线单位重大环境风险及防范举措的落实情况纳入重要工作内容，每季度按照环保“重点工作”、“日常工作”清单逐项进行考核，每季度将环保目标考核情况通报给下属企业，并要求直属企业按时整改闭合，持续强化环保管理体系，确保生态环境工作取得成效。</w:t>
            </w:r>
          </w:p>
          <w:p>
            <w:pPr>
              <w:numPr>
                <w:ilvl w:val="0"/>
                <w:numId w:val="0"/>
              </w:numPr>
              <w:jc w:val="both"/>
              <w:rPr>
                <w:rFonts w:hint="eastAsia" w:ascii="仿宋_GB2312" w:hAnsi="仿宋_GB2312" w:eastAsia="仿宋_GB2312" w:cs="仿宋_GB2312"/>
                <w:sz w:val="28"/>
                <w:szCs w:val="28"/>
                <w:vertAlign w:val="baseline"/>
              </w:rPr>
            </w:pPr>
            <w:r>
              <w:rPr>
                <w:rFonts w:hint="eastAsia" w:eastAsia="仿宋_GB2312"/>
                <w:color w:val="auto"/>
                <w:sz w:val="28"/>
                <w:szCs w:val="28"/>
                <w:lang w:val="en-US" w:eastAsia="zh-CN"/>
              </w:rPr>
              <w:t>3.公司在2023年5月25日对谢家坪隧道生态环境典型案例的责任单位、人员进行了处罚并通报。</w:t>
            </w:r>
            <w:bookmarkStart w:id="0" w:name="_GoBack"/>
            <w:bookmarkEnd w:id="0"/>
          </w:p>
        </w:tc>
      </w:tr>
    </w:tbl>
    <w:p>
      <w:pPr>
        <w:jc w:val="both"/>
        <w:rPr>
          <w:rFonts w:hint="eastAsia" w:ascii="方正小标宋简体" w:hAnsi="方正小标宋简体" w:eastAsia="方正小标宋简体" w:cs="方正小标宋简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64A66E"/>
    <w:multiLevelType w:val="singleLevel"/>
    <w:tmpl w:val="D164A66E"/>
    <w:lvl w:ilvl="0" w:tentative="0">
      <w:start w:val="1"/>
      <w:numFmt w:val="decimal"/>
      <w:lvlText w:val="%1."/>
      <w:lvlJc w:val="left"/>
      <w:pPr>
        <w:tabs>
          <w:tab w:val="left" w:pos="312"/>
        </w:tabs>
      </w:pPr>
    </w:lvl>
  </w:abstractNum>
  <w:abstractNum w:abstractNumId="1">
    <w:nsid w:val="ED2FDBAE"/>
    <w:multiLevelType w:val="singleLevel"/>
    <w:tmpl w:val="ED2FDBAE"/>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ODc3ZjAyNDU1ODM5OWQ4ZTM2NTJhMTFkYjIyZWMifQ=="/>
  </w:docVars>
  <w:rsids>
    <w:rsidRoot w:val="66D40DA9"/>
    <w:rsid w:val="0C7513D0"/>
    <w:rsid w:val="0E8C0659"/>
    <w:rsid w:val="18DB73AD"/>
    <w:rsid w:val="19341F4D"/>
    <w:rsid w:val="26C2328E"/>
    <w:rsid w:val="3441187A"/>
    <w:rsid w:val="43C0001A"/>
    <w:rsid w:val="5A89319F"/>
    <w:rsid w:val="665E6F19"/>
    <w:rsid w:val="66D40DA9"/>
    <w:rsid w:val="67A33D00"/>
    <w:rsid w:val="6CDC1854"/>
    <w:rsid w:val="73E056D6"/>
    <w:rsid w:val="76582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428</Words>
  <Characters>446</Characters>
  <Lines>0</Lines>
  <Paragraphs>0</Paragraphs>
  <TotalTime>27</TotalTime>
  <ScaleCrop>false</ScaleCrop>
  <LinksUpToDate>false</LinksUpToDate>
  <CharactersWithSpaces>446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2023-07-06T07:10:00Z</dcterms:created>
  <dc:creator>呆。</dc:creator>
  <cp:lastModifiedBy>呆。</cp:lastModifiedBy>
  <cp:lastPrinted>2023-08-11T02:43:32Z</cp:lastPrinted>
  <dcterms:modified xsi:type="dcterms:W3CDTF">2023-08-11T02:43:37Z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CA2FA58A44B647DDB3F24F0FB68349E5_11</vt:lpwstr>
  </property>
</Properties>
</file>